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6B5AF" w14:textId="77777777" w:rsidR="00C36AB6" w:rsidRDefault="00C36AB6" w:rsidP="00C36AB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14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9"/>
        <w:gridCol w:w="2552"/>
        <w:gridCol w:w="2654"/>
        <w:gridCol w:w="2610"/>
        <w:gridCol w:w="3375"/>
      </w:tblGrid>
      <w:tr w:rsidR="00C36AB6" w14:paraId="7D5CBB78" w14:textId="77777777" w:rsidTr="00042C0A">
        <w:tc>
          <w:tcPr>
            <w:tcW w:w="14730" w:type="dxa"/>
            <w:gridSpan w:val="5"/>
          </w:tcPr>
          <w:p w14:paraId="76C4F7A0" w14:textId="77777777" w:rsidR="00C36AB6" w:rsidRDefault="00C36AB6" w:rsidP="00C36AB6">
            <w:pPr>
              <w:spacing w:after="0"/>
              <w:rPr>
                <w:rFonts w:ascii="Garamond" w:eastAsia="Garamond" w:hAnsi="Garamond" w:cs="Garamond"/>
                <w:b/>
                <w:color w:val="FF0000"/>
              </w:rPr>
            </w:pPr>
            <w:r>
              <w:rPr>
                <w:rFonts w:ascii="Garamond" w:eastAsia="Garamond" w:hAnsi="Garamond" w:cs="Garamond"/>
                <w:b/>
                <w:color w:val="FF0000"/>
              </w:rPr>
              <w:t>a.s. 2024-2025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RUBRICA PER LA VALUTAZIONE DELLE COMPETENZE MATETAMICHE CLASSE II</w:t>
            </w:r>
            <w:r>
              <w:rPr>
                <w:rFonts w:ascii="Garamond" w:eastAsia="Garamond" w:hAnsi="Garamond" w:cs="Garamond"/>
                <w:b/>
                <w:color w:val="FF0000"/>
              </w:rPr>
              <w:tab/>
              <w:t xml:space="preserve">                              Sc. SEC. </w:t>
            </w:r>
            <w:proofErr w:type="gramStart"/>
            <w:r>
              <w:rPr>
                <w:rFonts w:ascii="Garamond" w:eastAsia="Garamond" w:hAnsi="Garamond" w:cs="Garamond"/>
                <w:b/>
                <w:color w:val="FF0000"/>
              </w:rPr>
              <w:t>I°</w:t>
            </w:r>
            <w:proofErr w:type="gramEnd"/>
          </w:p>
        </w:tc>
      </w:tr>
      <w:tr w:rsidR="00C36AB6" w14:paraId="75BABACE" w14:textId="77777777" w:rsidTr="00042C0A">
        <w:tc>
          <w:tcPr>
            <w:tcW w:w="14730" w:type="dxa"/>
            <w:gridSpan w:val="5"/>
          </w:tcPr>
          <w:p w14:paraId="6990DEA8" w14:textId="77777777" w:rsidR="00C36AB6" w:rsidRDefault="00C36AB6" w:rsidP="00C36AB6">
            <w:pPr>
              <w:spacing w:after="0"/>
              <w:jc w:val="center"/>
              <w:rPr>
                <w:rFonts w:ascii="Garamond" w:eastAsia="Garamond" w:hAnsi="Garamond" w:cs="Garamond"/>
                <w:b/>
              </w:rPr>
            </w:pPr>
            <w:r>
              <w:rPr>
                <w:rFonts w:ascii="Garamond" w:eastAsia="Garamond" w:hAnsi="Garamond" w:cs="Garamond"/>
                <w:b/>
              </w:rPr>
              <w:t>INDICATORI E DESCRITTORI</w:t>
            </w:r>
          </w:p>
        </w:tc>
      </w:tr>
      <w:tr w:rsidR="00C36AB6" w14:paraId="61028A71" w14:textId="77777777" w:rsidTr="00124F10">
        <w:tc>
          <w:tcPr>
            <w:tcW w:w="3539" w:type="dxa"/>
          </w:tcPr>
          <w:p w14:paraId="179D60A2" w14:textId="77777777" w:rsidR="00C36AB6" w:rsidRDefault="00C36AB6" w:rsidP="00C36AB6">
            <w:pPr>
              <w:spacing w:after="0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  <w:b/>
              </w:rPr>
              <w:t>COMPETENZE MATEMATICHE CLASSE II</w:t>
            </w:r>
          </w:p>
        </w:tc>
        <w:tc>
          <w:tcPr>
            <w:tcW w:w="2552" w:type="dxa"/>
            <w:shd w:val="clear" w:color="auto" w:fill="DBE4F0"/>
          </w:tcPr>
          <w:p w14:paraId="0B90DAA1" w14:textId="77777777" w:rsidR="00C36AB6" w:rsidRDefault="00C36AB6" w:rsidP="0012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77" w:right="84" w:firstLine="5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4F2019AB" w14:textId="77777777" w:rsidR="00C36AB6" w:rsidRDefault="00C36AB6" w:rsidP="00124F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77" w:right="84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INIZIALE</w:t>
            </w:r>
          </w:p>
        </w:tc>
        <w:tc>
          <w:tcPr>
            <w:tcW w:w="2654" w:type="dxa"/>
            <w:shd w:val="clear" w:color="auto" w:fill="DBE4F0"/>
          </w:tcPr>
          <w:p w14:paraId="1D85A464" w14:textId="77777777" w:rsidR="00C36AB6" w:rsidRDefault="00C36AB6" w:rsidP="00C36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" w:right="1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2B00600E" w14:textId="77777777" w:rsidR="00C36AB6" w:rsidRDefault="00C36AB6" w:rsidP="00C36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11" w:right="7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BASE</w:t>
            </w:r>
          </w:p>
        </w:tc>
        <w:tc>
          <w:tcPr>
            <w:tcW w:w="2610" w:type="dxa"/>
            <w:shd w:val="clear" w:color="auto" w:fill="DBE4F0"/>
          </w:tcPr>
          <w:p w14:paraId="4871B6C0" w14:textId="77777777" w:rsidR="00C36AB6" w:rsidRDefault="00C36AB6" w:rsidP="00C36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20" w:firstLine="139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4D7CD065" w14:textId="77777777" w:rsidR="00C36AB6" w:rsidRDefault="00C36AB6" w:rsidP="00C36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349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INTERMEDIO</w:t>
            </w:r>
          </w:p>
        </w:tc>
        <w:tc>
          <w:tcPr>
            <w:tcW w:w="3375" w:type="dxa"/>
            <w:shd w:val="clear" w:color="auto" w:fill="DBE4F0"/>
          </w:tcPr>
          <w:p w14:paraId="48539B11" w14:textId="77777777" w:rsidR="00C36AB6" w:rsidRDefault="00C36AB6" w:rsidP="00C36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680" w:right="676"/>
              <w:jc w:val="center"/>
              <w:rPr>
                <w:rFonts w:ascii="Garamond" w:eastAsia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color w:val="000000"/>
                <w:sz w:val="20"/>
                <w:szCs w:val="20"/>
              </w:rPr>
              <w:t>LIVELLO DI COMPETENZA</w:t>
            </w:r>
          </w:p>
          <w:p w14:paraId="4A70B5FD" w14:textId="77777777" w:rsidR="00C36AB6" w:rsidRDefault="00C36AB6" w:rsidP="00C36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23" w:lineRule="auto"/>
              <w:ind w:left="680" w:right="678"/>
              <w:jc w:val="center"/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eastAsia="Garamond" w:hAnsi="Garamond" w:cs="Garamond"/>
                <w:b/>
                <w:color w:val="000000"/>
                <w:sz w:val="20"/>
                <w:szCs w:val="20"/>
              </w:rPr>
              <w:t>AVANZATO</w:t>
            </w:r>
          </w:p>
        </w:tc>
      </w:tr>
      <w:tr w:rsidR="00C36AB6" w14:paraId="7EC3A762" w14:textId="77777777" w:rsidTr="00124F10">
        <w:tc>
          <w:tcPr>
            <w:tcW w:w="3539" w:type="dxa"/>
          </w:tcPr>
          <w:p w14:paraId="39860198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si muove con sicurezza nel calcolo negli insiemi dei numeri naturali, razionali e irrazionali, li rappresenta e stima la grandezza e il risultato delle operazioni.</w:t>
            </w:r>
          </w:p>
          <w:p w14:paraId="64F7F750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Affronta problemi di proporzionalità.</w:t>
            </w:r>
          </w:p>
        </w:tc>
        <w:tc>
          <w:tcPr>
            <w:tcW w:w="2552" w:type="dxa"/>
          </w:tcPr>
          <w:p w14:paraId="17D7A2C3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abilità incomplete o essenziali nel calcolo e non sempre è autonomo nell’ organizzazione dei dati e nella risoluzione di problemi. </w:t>
            </w:r>
          </w:p>
        </w:tc>
        <w:tc>
          <w:tcPr>
            <w:tcW w:w="2654" w:type="dxa"/>
          </w:tcPr>
          <w:p w14:paraId="468BDF7E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>L’alunno opera con abilità adeguata. Sa individuare soluzioni di un problema in contesti non complessi.</w:t>
            </w:r>
          </w:p>
        </w:tc>
        <w:tc>
          <w:tcPr>
            <w:tcW w:w="2610" w:type="dxa"/>
          </w:tcPr>
          <w:p w14:paraId="7F09B7A4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abilità e padronanza di calcolo e sa organizzare i dati ed individuare la soluzione di un problema. 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32D70ABC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opera con assoluta padronanza di calcolo e sa individuare con correttezza e chiarezza le soluzioni di un problema. </w:t>
            </w:r>
          </w:p>
        </w:tc>
      </w:tr>
      <w:tr w:rsidR="00C36AB6" w14:paraId="5EC3040B" w14:textId="77777777" w:rsidTr="00124F10">
        <w:tc>
          <w:tcPr>
            <w:tcW w:w="3539" w:type="dxa"/>
          </w:tcPr>
          <w:p w14:paraId="32F959AE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Riconosce e denomina le forme del piano. Le rappresenta e risolve problemi in contesti diversi valutando le informazioni e la loro coerenza.</w:t>
            </w:r>
          </w:p>
          <w:p w14:paraId="22F24473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552" w:type="dxa"/>
          </w:tcPr>
          <w:p w14:paraId="4338BA42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analizza figure geometriche in modo superficiale e con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difficoltà  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individua le proprietà fondamentali. Affronta problemi semplici che risolve ricorrendo a strategie elementari.</w:t>
            </w:r>
          </w:p>
        </w:tc>
        <w:tc>
          <w:tcPr>
            <w:tcW w:w="2654" w:type="dxa"/>
          </w:tcPr>
          <w:p w14:paraId="724E3E94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semplici figure geometriche individuandone le proprietà in situazioni note. Comprende i problemi, ne individua le informazioni essenziali e li risolve quasi sempre correttamente.</w:t>
            </w:r>
          </w:p>
        </w:tc>
        <w:tc>
          <w:tcPr>
            <w:tcW w:w="2610" w:type="dxa"/>
          </w:tcPr>
          <w:p w14:paraId="3EC3B458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L’alunno analizza figure geometriche ne individua le proprietà riconoscendole in situazioni non sempre note. Comprende i problemi, ne individua informazioni e procedimenti risolutivi.</w:t>
            </w:r>
          </w:p>
        </w:tc>
        <w:tc>
          <w:tcPr>
            <w:tcW w:w="3375" w:type="dxa"/>
          </w:tcPr>
          <w:p w14:paraId="74EA621E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L’alunno analizza figure geometriche complesse individuandone le proprietà anche in situazioni non note. Comprende problemi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articolati,  ne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individua le informazioni e li risolve utilizzando la strategia più opportuna.</w:t>
            </w:r>
          </w:p>
        </w:tc>
      </w:tr>
      <w:tr w:rsidR="00C36AB6" w14:paraId="738CD77B" w14:textId="77777777" w:rsidTr="00124F10">
        <w:tc>
          <w:tcPr>
            <w:tcW w:w="3539" w:type="dxa"/>
          </w:tcPr>
          <w:p w14:paraId="7A7F109B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Analizza dati e li interpreta, sviluppando deduzioni e ragionamenti anche con l’ausilio di rappresentazioni grafiche </w:t>
            </w:r>
          </w:p>
          <w:p w14:paraId="77ACF8C0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</w:tcPr>
          <w:p w14:paraId="41CFD410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 raccoglie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dati ed  elabora tabelle e grafici con abilità essenziali e in modo non sempre autonomo.</w:t>
            </w:r>
          </w:p>
          <w:p w14:paraId="5D073C75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</w:tcPr>
          <w:p w14:paraId="79A73BC0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raccoglie e organizza dati in tabelle e grafici, apprende informazioni dalle rappresentazioni grafiche. </w:t>
            </w:r>
          </w:p>
        </w:tc>
        <w:tc>
          <w:tcPr>
            <w:tcW w:w="2610" w:type="dxa"/>
          </w:tcPr>
          <w:p w14:paraId="1FAC407E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raccoglie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  analizza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dati nelle rappresentazioni grafiche più opportune, legge e ricava informazioni da grafici.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2E32F279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raccoglie, interpreta. analizza dati nelle rappresentazioni grafiche più opportune, acquisisce informazioni per comprendere situazioni reali.</w:t>
            </w:r>
          </w:p>
        </w:tc>
      </w:tr>
      <w:tr w:rsidR="00C36AB6" w14:paraId="68CB5A0E" w14:textId="77777777" w:rsidTr="00124F10">
        <w:trPr>
          <w:trHeight w:val="1412"/>
        </w:trPr>
        <w:tc>
          <w:tcPr>
            <w:tcW w:w="3539" w:type="dxa"/>
          </w:tcPr>
          <w:p w14:paraId="7D338D7B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Utilizza il linguaggio, i simboli matematici e gli strumenti appresi per operare nella realtà.</w:t>
            </w:r>
          </w:p>
          <w:p w14:paraId="3DC79501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  <w:p w14:paraId="2CAC21CE" w14:textId="77777777" w:rsidR="00C36AB6" w:rsidRDefault="00C36AB6" w:rsidP="00C36AB6">
            <w:pPr>
              <w:spacing w:after="0"/>
              <w:jc w:val="both"/>
              <w:rPr>
                <w:rFonts w:ascii="Garamond" w:eastAsia="Garamond" w:hAnsi="Garamond" w:cs="Garamond"/>
              </w:rPr>
            </w:pPr>
          </w:p>
        </w:tc>
        <w:tc>
          <w:tcPr>
            <w:tcW w:w="2552" w:type="dxa"/>
          </w:tcPr>
          <w:p w14:paraId="397D51D4" w14:textId="41DEB49C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L’alunno utilizza il linguaggio specifico e i simboli matematici in modo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superficiale  e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 sempre appropriato.</w:t>
            </w:r>
          </w:p>
        </w:tc>
        <w:tc>
          <w:tcPr>
            <w:tcW w:w="2654" w:type="dxa"/>
          </w:tcPr>
          <w:p w14:paraId="2FBE111B" w14:textId="20F7149E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sostanzialmente adeguato.</w:t>
            </w:r>
          </w:p>
        </w:tc>
        <w:tc>
          <w:tcPr>
            <w:tcW w:w="2610" w:type="dxa"/>
          </w:tcPr>
          <w:p w14:paraId="29A2F966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sicuro e corretto.</w:t>
            </w:r>
          </w:p>
        </w:tc>
        <w:tc>
          <w:tcPr>
            <w:tcW w:w="3375" w:type="dxa"/>
            <w:tcBorders>
              <w:bottom w:val="single" w:sz="4" w:space="0" w:color="000000"/>
            </w:tcBorders>
          </w:tcPr>
          <w:p w14:paraId="6C46878F" w14:textId="77777777" w:rsidR="00C36AB6" w:rsidRDefault="00C36AB6" w:rsidP="00C36AB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L’alunno utilizza il linguaggio specifico e i simboli matematici in modo completo, sicuro e rigoroso.</w:t>
            </w:r>
          </w:p>
        </w:tc>
      </w:tr>
    </w:tbl>
    <w:p w14:paraId="07A1E99E" w14:textId="77777777" w:rsidR="00280314" w:rsidRDefault="00280314"/>
    <w:sectPr w:rsidR="00280314" w:rsidSect="00C36AB6">
      <w:pgSz w:w="16838" w:h="11906" w:orient="landscape"/>
      <w:pgMar w:top="1134" w:right="1417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B6"/>
    <w:rsid w:val="00124F10"/>
    <w:rsid w:val="00280314"/>
    <w:rsid w:val="002B383E"/>
    <w:rsid w:val="00AF14F4"/>
    <w:rsid w:val="00B17A5E"/>
    <w:rsid w:val="00C36AB6"/>
    <w:rsid w:val="00D77BBD"/>
    <w:rsid w:val="00EE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AAEF1"/>
  <w15:chartTrackingRefBased/>
  <w15:docId w15:val="{447C3F4C-E1FC-4706-9D83-F7D7D7C8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6AB6"/>
    <w:rPr>
      <w:rFonts w:ascii="Calibri" w:eastAsia="Calibri" w:hAnsi="Calibri" w:cs="Calibri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6A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36A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36AB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36AB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36AB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36AB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36AB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36AB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36AB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36A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36A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36A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36A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36A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36A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36A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36A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36A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36A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C36A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36AB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36A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36AB6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36A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36AB6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C36A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36A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36A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36A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3</cp:revision>
  <dcterms:created xsi:type="dcterms:W3CDTF">2024-10-25T20:05:00Z</dcterms:created>
  <dcterms:modified xsi:type="dcterms:W3CDTF">2024-10-25T20:17:00Z</dcterms:modified>
</cp:coreProperties>
</file>